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1" w:type="pct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16"/>
        <w:gridCol w:w="13"/>
        <w:gridCol w:w="2874"/>
        <w:gridCol w:w="4801"/>
        <w:gridCol w:w="1831"/>
        <w:gridCol w:w="15"/>
        <w:gridCol w:w="10"/>
        <w:gridCol w:w="13"/>
      </w:tblGrid>
      <w:tr w:rsidR="00BE4FDE" w:rsidRPr="00BE4FDE" w:rsidTr="00574BEF">
        <w:trPr>
          <w:gridAfter w:val="3"/>
          <w:wAfter w:w="21" w:type="pct"/>
          <w:trHeight w:val="665"/>
        </w:trPr>
        <w:tc>
          <w:tcPr>
            <w:tcW w:w="4979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教育部各單位103年發文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代字表</w:t>
            </w:r>
            <w:proofErr w:type="gramEnd"/>
          </w:p>
        </w:tc>
      </w:tr>
      <w:tr w:rsidR="00BE4FDE" w:rsidRPr="00BE4FDE" w:rsidTr="00574BEF">
        <w:trPr>
          <w:gridAfter w:val="3"/>
          <w:wAfter w:w="21" w:type="pct"/>
          <w:trHeight w:val="607"/>
        </w:trPr>
        <w:tc>
          <w:tcPr>
            <w:tcW w:w="15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代字號</w:t>
            </w:r>
          </w:p>
        </w:tc>
        <w:tc>
          <w:tcPr>
            <w:tcW w:w="2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承辦單位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備註</w:t>
            </w: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臺教參字</w:t>
            </w:r>
            <w:proofErr w:type="gramEnd"/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參事室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臺教督字</w:t>
            </w:r>
            <w:proofErr w:type="gramEnd"/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督學室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臺教綜通字</w:t>
            </w:r>
            <w:proofErr w:type="gramEnd"/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綜合規劃司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臺教綜字</w:t>
            </w:r>
            <w:proofErr w:type="gramEnd"/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綜合規劃司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臺教綜（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綜合規劃司綜合企劃科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臺教綜（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綜合規劃司研究發展科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臺教綜（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綜合規劃司管制考核科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臺教綜（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綜合規劃司新聞及國會聯絡科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臺教綜（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綜合規劃司學校衛生科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臺教綜（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綜合規劃司原住民族及少數族群教育科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教高通字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高等教育司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教高字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高等教育司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教高(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高等教育司綜合企劃科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教高(二)字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高等教育司教育品質及發展科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教高(三)字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高等教育司大學經營及發展科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教高(四)字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高等教育司大學招生及助學科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3"/>
          <w:wAfter w:w="21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教高(五)字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高等教育司教師資格及學術審查科</w:t>
            </w:r>
          </w:p>
        </w:tc>
        <w:tc>
          <w:tcPr>
            <w:tcW w:w="95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2"/>
          <w:wAfter w:w="13" w:type="pct"/>
          <w:trHeight w:val="641"/>
        </w:trPr>
        <w:tc>
          <w:tcPr>
            <w:tcW w:w="4987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44"/>
                <w:szCs w:val="44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lastRenderedPageBreak/>
              <w:t>教育部各單位103年發文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代字表</w:t>
            </w:r>
            <w:proofErr w:type="gramEnd"/>
          </w:p>
        </w:tc>
      </w:tr>
      <w:tr w:rsidR="00BE4FDE" w:rsidRPr="00BE4FDE" w:rsidTr="00574BEF">
        <w:trPr>
          <w:gridAfter w:val="2"/>
          <w:wAfter w:w="13" w:type="pct"/>
          <w:trHeight w:val="635"/>
        </w:trPr>
        <w:tc>
          <w:tcPr>
            <w:tcW w:w="15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代字號</w:t>
            </w:r>
          </w:p>
        </w:tc>
        <w:tc>
          <w:tcPr>
            <w:tcW w:w="25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承辦單位</w:t>
            </w:r>
          </w:p>
        </w:tc>
        <w:tc>
          <w:tcPr>
            <w:tcW w:w="96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備註</w:t>
            </w: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臺教技通字</w:t>
            </w:r>
            <w:proofErr w:type="gramEnd"/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技術及職業教育司</w:t>
            </w:r>
          </w:p>
        </w:tc>
        <w:tc>
          <w:tcPr>
            <w:tcW w:w="96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臺教技字</w:t>
            </w:r>
            <w:proofErr w:type="gramEnd"/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技術及職業教育司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臺教技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技術及職業教育司綜合企劃科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臺教技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技術及職業教育司學校經營科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臺教技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（三）字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技術及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職業教育司產學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合作發展科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臺教技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（四）字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技術及職業教育司教育品質及發展科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臺教社通字</w:t>
            </w:r>
            <w:proofErr w:type="gramEnd"/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終身教育司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臺教社字</w:t>
            </w:r>
            <w:proofErr w:type="gramEnd"/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終身教育司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臺教社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終身教育司成人及社區教育科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臺教社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終身教育司家庭及高齡教育科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臺教社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（三）字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終身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教育司社教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機構及教育基金會科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臺教社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（四）字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終身教育司閱讀及語文教育科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教文通字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國際及兩岸教育司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教文字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國際及兩岸教育司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教文（一）字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國際及兩岸教育司國際合作科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教文（二）字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國際及兩岸教育司兩岸事務科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After w:val="2"/>
          <w:wAfter w:w="13" w:type="pct"/>
        </w:trPr>
        <w:tc>
          <w:tcPr>
            <w:tcW w:w="152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教文（三）字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國際及兩岸教育司海外留學科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  <w:trHeight w:val="624"/>
        </w:trPr>
        <w:tc>
          <w:tcPr>
            <w:tcW w:w="498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lastRenderedPageBreak/>
              <w:t>教育部各單位103年發文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代字表</w:t>
            </w:r>
            <w:proofErr w:type="gramEnd"/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  <w:trHeight w:val="635"/>
        </w:trPr>
        <w:tc>
          <w:tcPr>
            <w:tcW w:w="15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代字號</w:t>
            </w:r>
          </w:p>
        </w:tc>
        <w:tc>
          <w:tcPr>
            <w:tcW w:w="25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承辦單位</w:t>
            </w:r>
          </w:p>
        </w:tc>
        <w:tc>
          <w:tcPr>
            <w:tcW w:w="96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備註</w:t>
            </w: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教文（四）字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國際及兩岸教育司交流接待科</w:t>
            </w:r>
          </w:p>
        </w:tc>
        <w:tc>
          <w:tcPr>
            <w:tcW w:w="96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教文（五）字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國際及兩岸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教育司僑生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及外生事務科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教文（六）字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國際及兩岸教育司海外臺灣學校及華語教育科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教師通字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師資培育及藝術教育司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教師字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師資培育及藝術教育司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教師（一）字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師資培育及藝術教育司藝術教育科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教師（二）字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師資培育及藝術教育司師資職前教育科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教師（三）字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師資培育及藝術教育司教師專業發展科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教師（教專）字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十二年國民基本教育專案辦公室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教資通字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資訊及科技教育司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教資字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資訊及科技教育司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教資（一）字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資訊及科技教育司綜合企劃及人文教育科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教資（二）字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資訊及科技教育司科技教育科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教資（三）字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資訊及科技教育司數位學習科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教資（四）字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資訊及科技教育司網路及資通安全科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教資（五）字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資訊及科技教育司資訊系統科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1"/>
          <w:gridAfter w:val="2"/>
          <w:wBefore w:w="7" w:type="pct"/>
          <w:wAfter w:w="13" w:type="pct"/>
        </w:trPr>
        <w:tc>
          <w:tcPr>
            <w:tcW w:w="151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教資（六）字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資訊及科技教育司環境及防災教育科</w:t>
            </w:r>
          </w:p>
        </w:tc>
        <w:tc>
          <w:tcPr>
            <w:tcW w:w="9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  <w:trHeight w:val="651"/>
        </w:trPr>
        <w:tc>
          <w:tcPr>
            <w:tcW w:w="4978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lastRenderedPageBreak/>
              <w:t>教育部各單位103年發文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代字表</w:t>
            </w:r>
            <w:proofErr w:type="gramEnd"/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  <w:trHeight w:val="635"/>
        </w:trPr>
        <w:tc>
          <w:tcPr>
            <w:tcW w:w="15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代字號</w:t>
            </w:r>
          </w:p>
        </w:tc>
        <w:tc>
          <w:tcPr>
            <w:tcW w:w="25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承辦單位</w:t>
            </w:r>
          </w:p>
        </w:tc>
        <w:tc>
          <w:tcPr>
            <w:tcW w:w="96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備註</w:t>
            </w: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教學通字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學生事務及特殊教育司</w:t>
            </w:r>
          </w:p>
        </w:tc>
        <w:tc>
          <w:tcPr>
            <w:tcW w:w="968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學生事務及特殊教育司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教學（一）字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學生事務及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特殊教育司軍護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人力科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教學（二）字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學生事務及特殊教育司學生事務科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教學（三）字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學生事務及特殊教育司性別平等教育及學生輔導科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教學（四）字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學生事務及特殊教育司特殊教育科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教學（五）字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學生事務及特殊教育司校園安全防護科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教學（六）字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學生事務及特殊教育司全民國防教育科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臺教秘通字</w:t>
            </w:r>
            <w:proofErr w:type="gramEnd"/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秘書處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臺教秘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秘書處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臺教秘（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秘書處事務管理科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臺教秘（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秘書處採購及工程管理科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臺教秘（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秘書處文書科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臺教秘（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秘書處檔案科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臺教秘（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秘書處學產管理科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教人通字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人事處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教人處字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人事處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  <w:trHeight w:val="596"/>
        </w:trPr>
        <w:tc>
          <w:tcPr>
            <w:tcW w:w="4978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44"/>
                <w:szCs w:val="44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lastRenderedPageBreak/>
              <w:t>教育部各單位103年發文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代字表</w:t>
            </w:r>
            <w:proofErr w:type="gramEnd"/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  <w:trHeight w:val="621"/>
        </w:trPr>
        <w:tc>
          <w:tcPr>
            <w:tcW w:w="15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代字號</w:t>
            </w:r>
          </w:p>
        </w:tc>
        <w:tc>
          <w:tcPr>
            <w:tcW w:w="25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承辦單位</w:t>
            </w:r>
          </w:p>
        </w:tc>
        <w:tc>
          <w:tcPr>
            <w:tcW w:w="96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備註</w:t>
            </w: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教人（一）字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人事處綜合企劃科</w:t>
            </w:r>
          </w:p>
        </w:tc>
        <w:tc>
          <w:tcPr>
            <w:tcW w:w="968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教人（二）字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人事處組編人力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教人（三）字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人事處培訓獎懲科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教人（四）字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人事處給與福利科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臺教政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政風處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臺教政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政風處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臺教政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政風處綜合預防科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臺教政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政風處查處科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教會通字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會計處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教會字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會計處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教會人字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會計處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教會（一）字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會計處國立學校及附設醫院科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教會（二）字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會計處私校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及會計人事管理科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教會（三）字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會計處審核及帳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務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教會（四）字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會計處公務預算科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臺教統通字</w:t>
            </w:r>
            <w:proofErr w:type="gramEnd"/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統計處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Before w:val="2"/>
          <w:gridAfter w:val="1"/>
          <w:wBefore w:w="15" w:type="pct"/>
          <w:wAfter w:w="7" w:type="pct"/>
        </w:trPr>
        <w:tc>
          <w:tcPr>
            <w:tcW w:w="15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臺教統字</w:t>
            </w:r>
            <w:proofErr w:type="gramEnd"/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統計處</w:t>
            </w:r>
          </w:p>
        </w:tc>
        <w:tc>
          <w:tcPr>
            <w:tcW w:w="9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Before w:val="3"/>
          <w:wBefore w:w="22" w:type="pct"/>
          <w:trHeight w:val="610"/>
        </w:trPr>
        <w:tc>
          <w:tcPr>
            <w:tcW w:w="4978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BE4FDE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lastRenderedPageBreak/>
              <w:t>教育部各單位103年發文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代字表</w:t>
            </w:r>
            <w:proofErr w:type="gramEnd"/>
          </w:p>
        </w:tc>
      </w:tr>
      <w:tr w:rsidR="00BE4FDE" w:rsidRPr="00BE4FDE" w:rsidTr="00574BEF">
        <w:trPr>
          <w:gridBefore w:val="3"/>
          <w:wBefore w:w="22" w:type="pct"/>
          <w:trHeight w:val="607"/>
        </w:trPr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代字號</w:t>
            </w:r>
          </w:p>
        </w:tc>
        <w:tc>
          <w:tcPr>
            <w:tcW w:w="2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承辦單位</w:t>
            </w:r>
          </w:p>
        </w:tc>
        <w:tc>
          <w:tcPr>
            <w:tcW w:w="977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備註</w:t>
            </w:r>
          </w:p>
        </w:tc>
      </w:tr>
      <w:tr w:rsidR="00BE4FDE" w:rsidRPr="00BE4FDE" w:rsidTr="00574BEF">
        <w:trPr>
          <w:gridBefore w:val="3"/>
          <w:wBefore w:w="22" w:type="pct"/>
        </w:trPr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臺教統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統計處高等教育統計科</w:t>
            </w:r>
          </w:p>
        </w:tc>
        <w:tc>
          <w:tcPr>
            <w:tcW w:w="97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</w:p>
        </w:tc>
      </w:tr>
      <w:tr w:rsidR="00BE4FDE" w:rsidRPr="00BE4FDE" w:rsidTr="00574BEF">
        <w:trPr>
          <w:gridBefore w:val="3"/>
          <w:wBefore w:w="22" w:type="pct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臺教統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統計處國民及學前教育統計科</w:t>
            </w: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</w:p>
        </w:tc>
      </w:tr>
      <w:tr w:rsidR="00BE4FDE" w:rsidRPr="00BE4FDE" w:rsidTr="00574BEF">
        <w:trPr>
          <w:gridBefore w:val="3"/>
          <w:wBefore w:w="22" w:type="pct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教法通字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法制處</w:t>
            </w: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Before w:val="3"/>
          <w:wBefore w:w="22" w:type="pct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教法字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法制處</w:t>
            </w: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專委以上人員使用</w:t>
            </w:r>
          </w:p>
        </w:tc>
      </w:tr>
      <w:tr w:rsidR="00BE4FDE" w:rsidRPr="00BE4FDE" w:rsidTr="00574BEF">
        <w:trPr>
          <w:gridBefore w:val="3"/>
          <w:wBefore w:w="22" w:type="pct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教法（一）字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法制處學校教育法規審議科</w:t>
            </w: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</w:p>
        </w:tc>
      </w:tr>
      <w:tr w:rsidR="00BE4FDE" w:rsidRPr="00BE4FDE" w:rsidTr="00574BEF">
        <w:trPr>
          <w:gridBefore w:val="3"/>
          <w:wBefore w:w="22" w:type="pct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教法（二）字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法制處綜合法規審議科</w:t>
            </w: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3"/>
          <w:wBefore w:w="22" w:type="pct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教法（三）字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法制處行政救濟科</w:t>
            </w: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3"/>
          <w:wBefore w:w="22" w:type="pct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臺教儲監字</w:t>
            </w:r>
            <w:proofErr w:type="gramEnd"/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學校法人及其所屬私立學校教職員退休撫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卹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離職資遣儲金監理會</w:t>
            </w: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通案性質公文使用</w:t>
            </w:r>
          </w:p>
        </w:tc>
      </w:tr>
      <w:tr w:rsidR="00BE4FDE" w:rsidRPr="00BE4FDE" w:rsidTr="00574BEF">
        <w:trPr>
          <w:gridBefore w:val="3"/>
          <w:wBefore w:w="22" w:type="pct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臺教儲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（一）字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學校法人及其所屬私立學校教職員退休撫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卹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離職資遣儲金監理會業務組</w:t>
            </w: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E4FDE" w:rsidRPr="00BE4FDE" w:rsidTr="00574BEF">
        <w:trPr>
          <w:gridBefore w:val="3"/>
          <w:wBefore w:w="22" w:type="pct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臺教儲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（二）字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學校法人及其所屬私立學校教職員退休撫</w:t>
            </w: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卹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離職資遣儲金監理會稽察組</w:t>
            </w: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E4FDE" w:rsidRPr="00BE4FDE" w:rsidTr="00574BEF">
        <w:trPr>
          <w:gridBefore w:val="3"/>
          <w:wBefore w:w="22" w:type="pct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臺教聯字</w:t>
            </w:r>
            <w:proofErr w:type="gramEnd"/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國會聯絡小組</w:t>
            </w: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3"/>
          <w:wBefore w:w="22" w:type="pct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教新字</w:t>
            </w:r>
          </w:p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第1030000000號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F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新聞工作小組</w:t>
            </w: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3"/>
          <w:wBefore w:w="22" w:type="pct"/>
          <w:trHeight w:val="856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3"/>
          <w:wBefore w:w="22" w:type="pct"/>
          <w:trHeight w:val="874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E4FDE" w:rsidRPr="00BE4FDE" w:rsidTr="00574BEF">
        <w:trPr>
          <w:gridBefore w:val="3"/>
          <w:wBefore w:w="22" w:type="pct"/>
          <w:trHeight w:val="892"/>
        </w:trPr>
        <w:tc>
          <w:tcPr>
            <w:tcW w:w="14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97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FDE" w:rsidRPr="00BE4FDE" w:rsidRDefault="00BE4FDE" w:rsidP="00BE4FD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BE4FDE" w:rsidRPr="00BE4FDE" w:rsidRDefault="00BE4FDE"/>
    <w:sectPr w:rsidR="00BE4FDE" w:rsidRPr="00BE4FDE" w:rsidSect="00312806">
      <w:footerReference w:type="default" r:id="rId7"/>
      <w:pgSz w:w="11906" w:h="16838"/>
      <w:pgMar w:top="1191" w:right="1797" w:bottom="79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39" w:rsidRDefault="00672A39" w:rsidP="00387415">
      <w:r>
        <w:separator/>
      </w:r>
    </w:p>
  </w:endnote>
  <w:endnote w:type="continuationSeparator" w:id="0">
    <w:p w:rsidR="00672A39" w:rsidRDefault="00672A39" w:rsidP="0038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035169"/>
      <w:docPartObj>
        <w:docPartGallery w:val="Page Numbers (Bottom of Page)"/>
        <w:docPartUnique/>
      </w:docPartObj>
    </w:sdtPr>
    <w:sdtContent>
      <w:p w:rsidR="00387415" w:rsidRDefault="003874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806" w:rsidRPr="00312806">
          <w:rPr>
            <w:noProof/>
            <w:lang w:val="zh-TW"/>
          </w:rPr>
          <w:t>6</w:t>
        </w:r>
        <w:r>
          <w:fldChar w:fldCharType="end"/>
        </w:r>
      </w:p>
    </w:sdtContent>
  </w:sdt>
  <w:p w:rsidR="00387415" w:rsidRDefault="003874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39" w:rsidRDefault="00672A39" w:rsidP="00387415">
      <w:r>
        <w:separator/>
      </w:r>
    </w:p>
  </w:footnote>
  <w:footnote w:type="continuationSeparator" w:id="0">
    <w:p w:rsidR="00672A39" w:rsidRDefault="00672A39" w:rsidP="0038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DE"/>
    <w:rsid w:val="00027285"/>
    <w:rsid w:val="0005544A"/>
    <w:rsid w:val="000A0C83"/>
    <w:rsid w:val="000B7726"/>
    <w:rsid w:val="000C2824"/>
    <w:rsid w:val="00115EAF"/>
    <w:rsid w:val="001A32E0"/>
    <w:rsid w:val="001B2050"/>
    <w:rsid w:val="001C4D9D"/>
    <w:rsid w:val="002240BF"/>
    <w:rsid w:val="00231D77"/>
    <w:rsid w:val="002523C7"/>
    <w:rsid w:val="00265529"/>
    <w:rsid w:val="0027456C"/>
    <w:rsid w:val="00294D95"/>
    <w:rsid w:val="002F6412"/>
    <w:rsid w:val="00312806"/>
    <w:rsid w:val="003232D0"/>
    <w:rsid w:val="00341C2E"/>
    <w:rsid w:val="00355F74"/>
    <w:rsid w:val="00387415"/>
    <w:rsid w:val="003A463E"/>
    <w:rsid w:val="003B4DEB"/>
    <w:rsid w:val="003B5730"/>
    <w:rsid w:val="003B6280"/>
    <w:rsid w:val="003C1907"/>
    <w:rsid w:val="003C3265"/>
    <w:rsid w:val="003F3A49"/>
    <w:rsid w:val="004372E4"/>
    <w:rsid w:val="00483EC9"/>
    <w:rsid w:val="004C5E02"/>
    <w:rsid w:val="004D2E34"/>
    <w:rsid w:val="004F61D3"/>
    <w:rsid w:val="005226FA"/>
    <w:rsid w:val="0056457D"/>
    <w:rsid w:val="00574BEF"/>
    <w:rsid w:val="005A75A1"/>
    <w:rsid w:val="005D5203"/>
    <w:rsid w:val="006575AB"/>
    <w:rsid w:val="00672A39"/>
    <w:rsid w:val="006D13C8"/>
    <w:rsid w:val="006E63C8"/>
    <w:rsid w:val="006F452B"/>
    <w:rsid w:val="00703D8C"/>
    <w:rsid w:val="007759E8"/>
    <w:rsid w:val="00796A7F"/>
    <w:rsid w:val="007C683C"/>
    <w:rsid w:val="007E3D4F"/>
    <w:rsid w:val="008023AF"/>
    <w:rsid w:val="0080740C"/>
    <w:rsid w:val="00815B91"/>
    <w:rsid w:val="00821A1F"/>
    <w:rsid w:val="0085101D"/>
    <w:rsid w:val="008E45F3"/>
    <w:rsid w:val="00902893"/>
    <w:rsid w:val="0091192B"/>
    <w:rsid w:val="0095790C"/>
    <w:rsid w:val="00982737"/>
    <w:rsid w:val="00A03C6C"/>
    <w:rsid w:val="00A33409"/>
    <w:rsid w:val="00A87D87"/>
    <w:rsid w:val="00B47AD0"/>
    <w:rsid w:val="00B674A1"/>
    <w:rsid w:val="00B704AF"/>
    <w:rsid w:val="00B86742"/>
    <w:rsid w:val="00BC3D84"/>
    <w:rsid w:val="00BE4FDE"/>
    <w:rsid w:val="00C03A72"/>
    <w:rsid w:val="00C12D5C"/>
    <w:rsid w:val="00C16304"/>
    <w:rsid w:val="00C45AE4"/>
    <w:rsid w:val="00C67D31"/>
    <w:rsid w:val="00CB354A"/>
    <w:rsid w:val="00CC2BC2"/>
    <w:rsid w:val="00CE5BB2"/>
    <w:rsid w:val="00CF392D"/>
    <w:rsid w:val="00D919A0"/>
    <w:rsid w:val="00DC41A4"/>
    <w:rsid w:val="00DE29AD"/>
    <w:rsid w:val="00DF18D0"/>
    <w:rsid w:val="00E338A3"/>
    <w:rsid w:val="00E628F1"/>
    <w:rsid w:val="00E6698F"/>
    <w:rsid w:val="00E66CB1"/>
    <w:rsid w:val="00E77294"/>
    <w:rsid w:val="00E866A8"/>
    <w:rsid w:val="00ED65CD"/>
    <w:rsid w:val="00F00417"/>
    <w:rsid w:val="00F83FFB"/>
    <w:rsid w:val="00FD3A5B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74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7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74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6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67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74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7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74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6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6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553</Words>
  <Characters>3157</Characters>
  <Application>Microsoft Office Word</Application>
  <DocSecurity>0</DocSecurity>
  <Lines>26</Lines>
  <Paragraphs>7</Paragraphs>
  <ScaleCrop>false</ScaleCrop>
  <Company>MOE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MOEIT</cp:lastModifiedBy>
  <cp:revision>3</cp:revision>
  <cp:lastPrinted>2013-11-28T10:06:00Z</cp:lastPrinted>
  <dcterms:created xsi:type="dcterms:W3CDTF">2013-11-28T10:05:00Z</dcterms:created>
  <dcterms:modified xsi:type="dcterms:W3CDTF">2013-11-28T10:11:00Z</dcterms:modified>
</cp:coreProperties>
</file>